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B179A" w14:textId="6E1942E2" w:rsidR="00297A7C" w:rsidRPr="006C75AE" w:rsidRDefault="00221505">
      <w:pPr>
        <w:rPr>
          <w:b/>
        </w:rPr>
      </w:pPr>
      <w:r w:rsidRPr="006C75AE">
        <w:rPr>
          <w:b/>
        </w:rPr>
        <w:t>CHRONIC LIMB THREATENING ISCHAEMIA</w:t>
      </w:r>
    </w:p>
    <w:p w14:paraId="108E8A6F" w14:textId="77777777" w:rsidR="00FE3DF5" w:rsidRDefault="00FE3DF5"/>
    <w:p w14:paraId="02D8D2A8" w14:textId="6C033A7C" w:rsidR="00FE3DF5" w:rsidRPr="00A02D38" w:rsidRDefault="006C75AE">
      <w:pPr>
        <w:rPr>
          <w:b/>
          <w:i/>
        </w:rPr>
      </w:pPr>
      <w:r w:rsidRPr="00A02D38">
        <w:rPr>
          <w:i/>
          <w:noProof/>
          <w:lang w:eastAsia="en-IE"/>
        </w:rPr>
        <mc:AlternateContent>
          <mc:Choice Requires="wps">
            <w:drawing>
              <wp:anchor distT="45720" distB="45720" distL="114300" distR="114300" simplePos="0" relativeHeight="251658240" behindDoc="0" locked="0" layoutInCell="1" allowOverlap="1" wp14:anchorId="656144B7" wp14:editId="11F28457">
                <wp:simplePos x="0" y="0"/>
                <wp:positionH relativeFrom="column">
                  <wp:posOffset>266700</wp:posOffset>
                </wp:positionH>
                <wp:positionV relativeFrom="paragraph">
                  <wp:posOffset>838835</wp:posOffset>
                </wp:positionV>
                <wp:extent cx="5600700" cy="140462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solidFill>
                            <a:srgbClr val="000000"/>
                          </a:solidFill>
                          <a:miter lim="800000"/>
                          <a:headEnd/>
                          <a:tailEnd/>
                        </a:ln>
                      </wps:spPr>
                      <wps:txbx>
                        <w:txbxContent>
                          <w:p w14:paraId="5A20F579" w14:textId="538B60B2" w:rsidR="00BD47FF" w:rsidRDefault="00BD47FF" w:rsidP="006C75AE">
                            <w:r>
                              <w:t>Practice Point: The patient must have at least one of either rest pain or tissue loss to be diagnosed with CLTI. Patients pain free without tissue loss but with an ankle pressure below 50mmHg or a toe pressure below 30mmHg have PAD but they do NOT have CLTI</w:t>
                            </w:r>
                          </w:p>
                          <w:p w14:paraId="393E78A4" w14:textId="3C4C3B4A" w:rsidR="00BD47FF" w:rsidRDefault="00BD47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144B7" id="_x0000_t202" coordsize="21600,21600" o:spt="202" path="m,l,21600r21600,l21600,xe">
                <v:stroke joinstyle="miter"/>
                <v:path gradientshapeok="t" o:connecttype="rect"/>
              </v:shapetype>
              <v:shape id="Text Box 2" o:spid="_x0000_s1026" type="#_x0000_t202" style="position:absolute;margin-left:21pt;margin-top:66.05pt;width:44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">
                <v:textbox style="mso-fit-shape-to-text:t">
                  <w:txbxContent>
                    <w:p w14:paraId="5A20F579" w14:textId="538B60B2" w:rsidR="00BD47FF" w:rsidRDefault="00BD47FF" w:rsidP="006C75AE">
                      <w:r>
                        <w:t>Practice Point: The patient must have at least one of either rest pain or tissue loss to be diagnosed with CLTI. Patients pain free without tissue loss but with an ankle pressure below 50mmHg or a toe pressure below 30mmHg have PAD but they do NOT have CLTI</w:t>
                      </w:r>
                    </w:p>
                    <w:p w14:paraId="393E78A4" w14:textId="3C4C3B4A" w:rsidR="00BD47FF" w:rsidRDefault="00BD47FF"/>
                  </w:txbxContent>
                </v:textbox>
                <w10:wrap type="square"/>
              </v:shape>
            </w:pict>
          </mc:Fallback>
        </mc:AlternateContent>
      </w:r>
      <w:r w:rsidR="00FE3DF5" w:rsidRPr="00A02D38">
        <w:rPr>
          <w:b/>
          <w:i/>
        </w:rPr>
        <w:t xml:space="preserve">Definition: </w:t>
      </w:r>
      <w:r w:rsidR="00EB174B" w:rsidRPr="00A02D38">
        <w:rPr>
          <w:b/>
          <w:i/>
        </w:rPr>
        <w:t>Ischaemic r</w:t>
      </w:r>
      <w:r w:rsidR="00FE3DF5" w:rsidRPr="00A02D38">
        <w:rPr>
          <w:b/>
          <w:i/>
        </w:rPr>
        <w:t xml:space="preserve">est pain requiring </w:t>
      </w:r>
      <w:r w:rsidR="005917C7" w:rsidRPr="00A02D38">
        <w:rPr>
          <w:b/>
          <w:i/>
        </w:rPr>
        <w:t xml:space="preserve">opiate </w:t>
      </w:r>
      <w:r w:rsidR="00FE3DF5" w:rsidRPr="00A02D38">
        <w:rPr>
          <w:b/>
          <w:i/>
        </w:rPr>
        <w:t xml:space="preserve">analgesia for at least two weeks </w:t>
      </w:r>
      <w:r w:rsidR="00EB174B" w:rsidRPr="00A02D38">
        <w:rPr>
          <w:b/>
          <w:i/>
        </w:rPr>
        <w:t>OR tissue loss</w:t>
      </w:r>
      <w:r w:rsidR="007D7019" w:rsidRPr="00A02D38">
        <w:rPr>
          <w:b/>
          <w:i/>
        </w:rPr>
        <w:t xml:space="preserve">, typically occurring in the presence of an ankle systolic pressure of </w:t>
      </w:r>
      <w:r w:rsidR="00D17C06" w:rsidRPr="00A02D38">
        <w:rPr>
          <w:b/>
          <w:i/>
        </w:rPr>
        <w:t>&lt;50mmHg or a toe systolic pressure &lt; 30mmHg</w:t>
      </w:r>
    </w:p>
    <w:p w14:paraId="02D6DB5E" w14:textId="57E7A073" w:rsidR="006C75AE" w:rsidRDefault="006C75AE"/>
    <w:p w14:paraId="349B1ACE" w14:textId="2BA929E8" w:rsidR="008778E2" w:rsidRPr="006C75AE" w:rsidRDefault="00414F7F">
      <w:pPr>
        <w:rPr>
          <w:b/>
        </w:rPr>
      </w:pPr>
      <w:r w:rsidRPr="006C75AE">
        <w:rPr>
          <w:b/>
        </w:rPr>
        <w:t>Epidemiology</w:t>
      </w:r>
    </w:p>
    <w:p w14:paraId="6E982EF0" w14:textId="77658021" w:rsidR="00B02634" w:rsidRDefault="00B02634">
      <w:r>
        <w:t xml:space="preserve">5 to 10% </w:t>
      </w:r>
      <w:r w:rsidR="008A7569">
        <w:t xml:space="preserve">of </w:t>
      </w:r>
      <w:r w:rsidR="00CD0186">
        <w:t>asymptomatic</w:t>
      </w:r>
      <w:r w:rsidR="00747D0C">
        <w:t xml:space="preserve"> PAD</w:t>
      </w:r>
      <w:r w:rsidR="00CD0186">
        <w:t xml:space="preserve"> or </w:t>
      </w:r>
      <w:r w:rsidR="00D20545">
        <w:t xml:space="preserve">IC patients progress </w:t>
      </w:r>
      <w:r w:rsidR="00CB42E3">
        <w:t xml:space="preserve">to </w:t>
      </w:r>
      <w:r w:rsidR="00732F1A">
        <w:t>CLTI</w:t>
      </w:r>
      <w:r w:rsidR="00CB42E3">
        <w:t xml:space="preserve"> in 5 years</w:t>
      </w:r>
    </w:p>
    <w:p w14:paraId="2E0AA5BD" w14:textId="1FEE2F7C" w:rsidR="000D3D99" w:rsidRDefault="000F0856">
      <w:r>
        <w:t>50</w:t>
      </w:r>
      <w:r w:rsidR="00A45629">
        <w:t>%</w:t>
      </w:r>
      <w:r>
        <w:t xml:space="preserve"> of CLTI patients have no prior history of PAD </w:t>
      </w:r>
    </w:p>
    <w:p w14:paraId="1E815C78" w14:textId="593EE92E" w:rsidR="00F56097" w:rsidRDefault="00F56097">
      <w:r>
        <w:t xml:space="preserve">Affects </w:t>
      </w:r>
      <w:r w:rsidR="000617ED">
        <w:t>1</w:t>
      </w:r>
      <w:r w:rsidR="00586BBB">
        <w:t>.</w:t>
      </w:r>
      <w:r w:rsidR="000617ED">
        <w:t>3% US adults</w:t>
      </w:r>
      <w:r w:rsidR="00586BBB">
        <w:t xml:space="preserve"> at any given time</w:t>
      </w:r>
    </w:p>
    <w:p w14:paraId="5D847049" w14:textId="537E3344" w:rsidR="00586BBB" w:rsidRDefault="00586BBB">
      <w:r>
        <w:t>Develops in 0</w:t>
      </w:r>
      <w:r w:rsidR="006138F5">
        <w:t xml:space="preserve">.3% </w:t>
      </w:r>
      <w:r w:rsidR="0076234C">
        <w:t xml:space="preserve">US </w:t>
      </w:r>
      <w:r w:rsidR="006138F5">
        <w:t>adults per annum</w:t>
      </w:r>
    </w:p>
    <w:p w14:paraId="2B8189C0" w14:textId="25EA39DF" w:rsidR="00907E4B" w:rsidRPr="006C75AE" w:rsidRDefault="00F91433">
      <w:pPr>
        <w:rPr>
          <w:b/>
        </w:rPr>
      </w:pPr>
      <w:r w:rsidRPr="006C75AE">
        <w:rPr>
          <w:b/>
        </w:rPr>
        <w:t>Risk Factors</w:t>
      </w:r>
    </w:p>
    <w:p w14:paraId="25BADC2E" w14:textId="2AC66C60" w:rsidR="00F91433" w:rsidRDefault="00F91433">
      <w:r>
        <w:t xml:space="preserve">Smoking, </w:t>
      </w:r>
      <w:r w:rsidR="003E6026">
        <w:t>diabetes, haemodialysis</w:t>
      </w:r>
      <w:r w:rsidR="00716850">
        <w:t xml:space="preserve">, hypertension, </w:t>
      </w:r>
      <w:r w:rsidR="00F30465">
        <w:t>hypercholesterolemia, family history</w:t>
      </w:r>
    </w:p>
    <w:p w14:paraId="1938769E" w14:textId="19397DCB" w:rsidR="00F30465" w:rsidRPr="006C75AE" w:rsidRDefault="001250C8">
      <w:pPr>
        <w:rPr>
          <w:b/>
        </w:rPr>
      </w:pPr>
      <w:r w:rsidRPr="006C75AE">
        <w:rPr>
          <w:b/>
        </w:rPr>
        <w:t>Causes</w:t>
      </w:r>
    </w:p>
    <w:p w14:paraId="4D9BA392" w14:textId="4CE49E43" w:rsidR="001250C8" w:rsidRDefault="001250C8">
      <w:r>
        <w:t>Majority = atherosclerosis</w:t>
      </w:r>
    </w:p>
    <w:p w14:paraId="79985DE2" w14:textId="43EB1056" w:rsidR="001250C8" w:rsidRDefault="006D15C4">
      <w:r>
        <w:t>Less commonly vasculitis</w:t>
      </w:r>
    </w:p>
    <w:p w14:paraId="2BDE9B18" w14:textId="47605A4D" w:rsidR="006D15C4" w:rsidRDefault="006D15C4">
      <w:r>
        <w:t>Rare</w:t>
      </w:r>
      <w:r w:rsidR="00405CB0">
        <w:t>: fibromuscular dysplasia,</w:t>
      </w:r>
      <w:r w:rsidR="00C1679F">
        <w:t xml:space="preserve"> entrapment syndromes,</w:t>
      </w:r>
      <w:r w:rsidR="00703570">
        <w:t xml:space="preserve"> </w:t>
      </w:r>
      <w:proofErr w:type="spellStart"/>
      <w:r w:rsidR="00703570">
        <w:t>thrombophilias</w:t>
      </w:r>
      <w:proofErr w:type="spellEnd"/>
      <w:r w:rsidR="00703570">
        <w:t xml:space="preserve"> e.</w:t>
      </w:r>
      <w:r w:rsidR="002272FF">
        <w:t>g. Protein S deficiency</w:t>
      </w:r>
    </w:p>
    <w:p w14:paraId="56751D74" w14:textId="21D88B79" w:rsidR="002272FF" w:rsidRPr="006C75AE" w:rsidRDefault="008C2E7C">
      <w:pPr>
        <w:rPr>
          <w:b/>
        </w:rPr>
      </w:pPr>
      <w:r w:rsidRPr="006C75AE">
        <w:rPr>
          <w:b/>
        </w:rPr>
        <w:t>Clinical Features</w:t>
      </w:r>
    </w:p>
    <w:p w14:paraId="0B6B5A95" w14:textId="5B341BBF" w:rsidR="008C2E7C" w:rsidRPr="006C75AE" w:rsidRDefault="002A6ED1">
      <w:pPr>
        <w:rPr>
          <w:i/>
        </w:rPr>
      </w:pPr>
      <w:r w:rsidRPr="006C75AE">
        <w:rPr>
          <w:i/>
        </w:rPr>
        <w:t xml:space="preserve">Rest Pain </w:t>
      </w:r>
    </w:p>
    <w:p w14:paraId="79194C7E" w14:textId="4E516324" w:rsidR="002A6ED1" w:rsidRDefault="006C75AE">
      <w:r>
        <w:rPr>
          <w:noProof/>
          <w:lang w:eastAsia="en-IE"/>
        </w:rPr>
        <w:drawing>
          <wp:anchor distT="0" distB="0" distL="114300" distR="114300" simplePos="0" relativeHeight="251658242" behindDoc="0" locked="0" layoutInCell="1" allowOverlap="1" wp14:anchorId="1F73860A" wp14:editId="218DF8A8">
            <wp:simplePos x="0" y="0"/>
            <wp:positionH relativeFrom="column">
              <wp:posOffset>0</wp:posOffset>
            </wp:positionH>
            <wp:positionV relativeFrom="paragraph">
              <wp:posOffset>3175</wp:posOffset>
            </wp:positionV>
            <wp:extent cx="897255" cy="11144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13433633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7255" cy="1114425"/>
                    </a:xfrm>
                    <a:prstGeom prst="rect">
                      <a:avLst/>
                    </a:prstGeom>
                  </pic:spPr>
                </pic:pic>
              </a:graphicData>
            </a:graphic>
          </wp:anchor>
        </w:drawing>
      </w:r>
      <w:r w:rsidR="00A02D38">
        <w:t>W</w:t>
      </w:r>
      <w:r w:rsidR="002A6ED1">
        <w:t>orse at night</w:t>
      </w:r>
    </w:p>
    <w:p w14:paraId="7E4BA0A4" w14:textId="5BACF588" w:rsidR="002A6ED1" w:rsidRDefault="001B4FF7">
      <w:r>
        <w:t>Relieved by leg dependency</w:t>
      </w:r>
    </w:p>
    <w:p w14:paraId="15543B20" w14:textId="45870389" w:rsidR="001B4FF7" w:rsidRDefault="00561A4A">
      <w:r>
        <w:t>Felt across base of toes</w:t>
      </w:r>
    </w:p>
    <w:p w14:paraId="34713D91" w14:textId="6AE353AD" w:rsidR="006E17F9" w:rsidRDefault="006E17F9">
      <w:r>
        <w:t>Severe, ache or burning</w:t>
      </w:r>
    </w:p>
    <w:p w14:paraId="4952872A" w14:textId="77777777" w:rsidR="006C75AE" w:rsidRDefault="006C75AE">
      <w:pPr>
        <w:rPr>
          <w:i/>
        </w:rPr>
      </w:pPr>
    </w:p>
    <w:p w14:paraId="4A3927CD" w14:textId="5F547531" w:rsidR="006C75AE" w:rsidRDefault="006C75AE">
      <w:r>
        <w:rPr>
          <w:noProof/>
          <w:lang w:eastAsia="en-IE"/>
        </w:rPr>
        <w:lastRenderedPageBreak/>
        <mc:AlternateContent>
          <mc:Choice Requires="wps">
            <w:drawing>
              <wp:anchor distT="45720" distB="45720" distL="114300" distR="114300" simplePos="0" relativeHeight="251658241" behindDoc="0" locked="0" layoutInCell="1" allowOverlap="1" wp14:anchorId="50A42FAF" wp14:editId="4620BDBB">
                <wp:simplePos x="0" y="0"/>
                <wp:positionH relativeFrom="margin">
                  <wp:align>left</wp:align>
                </wp:positionH>
                <wp:positionV relativeFrom="paragraph">
                  <wp:posOffset>9525</wp:posOffset>
                </wp:positionV>
                <wp:extent cx="5905500" cy="447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w="9525">
                          <a:solidFill>
                            <a:srgbClr val="000000"/>
                          </a:solidFill>
                          <a:miter lim="800000"/>
                          <a:headEnd/>
                          <a:tailEnd/>
                        </a:ln>
                      </wps:spPr>
                      <wps:txbx>
                        <w:txbxContent>
                          <w:p w14:paraId="74DC1B90" w14:textId="01677C57" w:rsidR="00BD47FF" w:rsidRDefault="00BD47FF" w:rsidP="006C75AE">
                            <w:r>
                              <w:t>Classic History: A patient spending all night trying to sleep sitting in a chair (leg elevation in bed reduces perfusion to the foot and pain develops)</w:t>
                            </w:r>
                          </w:p>
                          <w:p w14:paraId="6AD5D925" w14:textId="76F9C546" w:rsidR="00BD47FF" w:rsidRDefault="00BD47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2FAF" id="_x0000_s1027" type="#_x0000_t202" style="position:absolute;margin-left:0;margin-top:.75pt;width:465pt;height:35.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">
                <v:textbox>
                  <w:txbxContent>
                    <w:p w14:paraId="74DC1B90" w14:textId="01677C57" w:rsidR="00BD47FF" w:rsidRDefault="00BD47FF" w:rsidP="006C75AE">
                      <w:r>
                        <w:t>Classic History: A patient spending all night trying to sleep sitting in a chair (leg elevation in bed reduces perfusion to the foot and pain develops)</w:t>
                      </w:r>
                    </w:p>
                    <w:p w14:paraId="6AD5D925" w14:textId="76F9C546" w:rsidR="00BD47FF" w:rsidRDefault="00BD47FF"/>
                  </w:txbxContent>
                </v:textbox>
                <w10:wrap type="square" anchorx="margin"/>
              </v:shape>
            </w:pict>
          </mc:Fallback>
        </mc:AlternateContent>
      </w:r>
    </w:p>
    <w:p w14:paraId="397B376E" w14:textId="3B53B098" w:rsidR="006C75AE" w:rsidRDefault="003D56D8">
      <w:r w:rsidRPr="006C75AE">
        <w:rPr>
          <w:i/>
        </w:rPr>
        <w:t xml:space="preserve">Tissue Loss </w:t>
      </w:r>
    </w:p>
    <w:p w14:paraId="5DED9ECA" w14:textId="4DB9DEE1" w:rsidR="003D56D8" w:rsidRDefault="00E4068C">
      <w:r>
        <w:t>Ulcer OR gangrene</w:t>
      </w:r>
    </w:p>
    <w:p w14:paraId="4A624A84" w14:textId="795A0938" w:rsidR="006C75AE" w:rsidRDefault="006C75AE">
      <w:r>
        <w:rPr>
          <w:noProof/>
          <w:lang w:eastAsia="en-IE"/>
        </w:rPr>
        <w:drawing>
          <wp:anchor distT="0" distB="0" distL="114300" distR="114300" simplePos="0" relativeHeight="251658243" behindDoc="0" locked="0" layoutInCell="1" allowOverlap="1" wp14:anchorId="17FB2B87" wp14:editId="1561384F">
            <wp:simplePos x="0" y="0"/>
            <wp:positionH relativeFrom="column">
              <wp:posOffset>0</wp:posOffset>
            </wp:positionH>
            <wp:positionV relativeFrom="paragraph">
              <wp:posOffset>2540</wp:posOffset>
            </wp:positionV>
            <wp:extent cx="1076325" cy="133612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13443669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336128"/>
                    </a:xfrm>
                    <a:prstGeom prst="rect">
                      <a:avLst/>
                    </a:prstGeom>
                  </pic:spPr>
                </pic:pic>
              </a:graphicData>
            </a:graphic>
          </wp:anchor>
        </w:drawing>
      </w:r>
    </w:p>
    <w:p w14:paraId="3BC85365" w14:textId="1E44AD19" w:rsidR="006C75AE" w:rsidRDefault="006C75AE">
      <w:r>
        <w:t xml:space="preserve">Typically – tips of toes; heads of metatarsals (planta side); tip of </w:t>
      </w:r>
      <w:proofErr w:type="spellStart"/>
      <w:r>
        <w:t>calcaneum</w:t>
      </w:r>
      <w:proofErr w:type="spellEnd"/>
      <w:r>
        <w:t>; lateral malleolus</w:t>
      </w:r>
    </w:p>
    <w:p w14:paraId="2A613915" w14:textId="4BB15DFD" w:rsidR="006138F5" w:rsidRDefault="006138F5"/>
    <w:p w14:paraId="6E6F9ECE" w14:textId="770CCE4A" w:rsidR="006C75AE" w:rsidRDefault="006C75AE"/>
    <w:p w14:paraId="4152D57C" w14:textId="65579128" w:rsidR="006C75AE" w:rsidRDefault="006C75AE"/>
    <w:p w14:paraId="6B689D0C" w14:textId="63D86827" w:rsidR="006C75AE" w:rsidRDefault="006C75AE">
      <w:r>
        <w:rPr>
          <w:noProof/>
          <w:lang w:eastAsia="en-IE"/>
        </w:rPr>
        <w:drawing>
          <wp:anchor distT="0" distB="0" distL="114300" distR="114300" simplePos="0" relativeHeight="251658244" behindDoc="0" locked="0" layoutInCell="1" allowOverlap="1" wp14:anchorId="65A017B4" wp14:editId="4AA867BB">
            <wp:simplePos x="0" y="0"/>
            <wp:positionH relativeFrom="column">
              <wp:posOffset>0</wp:posOffset>
            </wp:positionH>
            <wp:positionV relativeFrom="paragraph">
              <wp:posOffset>0</wp:posOffset>
            </wp:positionV>
            <wp:extent cx="859367" cy="1066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_16138188.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859367" cy="1066800"/>
                    </a:xfrm>
                    <a:prstGeom prst="rect">
                      <a:avLst/>
                    </a:prstGeom>
                  </pic:spPr>
                </pic:pic>
              </a:graphicData>
            </a:graphic>
          </wp:anchor>
        </w:drawing>
      </w:r>
      <w:r>
        <w:t xml:space="preserve"> Gangrene may be black, necrotic areas on tips of toes</w:t>
      </w:r>
    </w:p>
    <w:p w14:paraId="2CC916A4" w14:textId="397668CC" w:rsidR="006C75AE" w:rsidRDefault="006C75AE"/>
    <w:p w14:paraId="0E9F1E13" w14:textId="73D7C3D1" w:rsidR="006C75AE" w:rsidRDefault="00AC50A1">
      <w:r>
        <w:t>OR</w:t>
      </w:r>
    </w:p>
    <w:p w14:paraId="37801C2B" w14:textId="48C55F2F" w:rsidR="00AC50A1" w:rsidRDefault="00AC50A1"/>
    <w:p w14:paraId="56E16571" w14:textId="1FFD71F3" w:rsidR="00AC50A1" w:rsidRDefault="00AC50A1"/>
    <w:p w14:paraId="59093F35" w14:textId="46AD878F" w:rsidR="00AC50A1" w:rsidRDefault="00AC50A1">
      <w:r>
        <w:rPr>
          <w:noProof/>
          <w:lang w:eastAsia="en-IE"/>
        </w:rPr>
        <w:drawing>
          <wp:anchor distT="0" distB="0" distL="114300" distR="114300" simplePos="0" relativeHeight="251658245" behindDoc="0" locked="0" layoutInCell="1" allowOverlap="1" wp14:anchorId="213035F8" wp14:editId="5A1CFA68">
            <wp:simplePos x="0" y="0"/>
            <wp:positionH relativeFrom="column">
              <wp:posOffset>0</wp:posOffset>
            </wp:positionH>
            <wp:positionV relativeFrom="paragraph">
              <wp:posOffset>635</wp:posOffset>
            </wp:positionV>
            <wp:extent cx="790310" cy="9810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_161459654.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90310" cy="981075"/>
                    </a:xfrm>
                    <a:prstGeom prst="rect">
                      <a:avLst/>
                    </a:prstGeom>
                  </pic:spPr>
                </pic:pic>
              </a:graphicData>
            </a:graphic>
          </wp:anchor>
        </w:drawing>
      </w:r>
    </w:p>
    <w:p w14:paraId="132AF599" w14:textId="05628262" w:rsidR="006C75AE" w:rsidRDefault="00AC50A1">
      <w:r>
        <w:t>May be more extensive with proximal extension of necrotic tissue</w:t>
      </w:r>
    </w:p>
    <w:p w14:paraId="4E9ED556" w14:textId="3E6B305D" w:rsidR="006C75AE" w:rsidRDefault="006C75AE"/>
    <w:p w14:paraId="312B3DBF" w14:textId="77777777" w:rsidR="006C75AE" w:rsidRDefault="006C75AE"/>
    <w:p w14:paraId="4EB8A16A" w14:textId="082FB282" w:rsidR="006C75AE" w:rsidRPr="00A62EBD" w:rsidRDefault="006700B3">
      <w:pPr>
        <w:rPr>
          <w:b/>
        </w:rPr>
      </w:pPr>
      <w:r w:rsidRPr="00A62EBD">
        <w:rPr>
          <w:b/>
        </w:rPr>
        <w:t>Approach to the CLTI Patient</w:t>
      </w:r>
    </w:p>
    <w:p w14:paraId="28DFD748" w14:textId="1CB1EFFB" w:rsidR="00F6029F" w:rsidRDefault="009F7881">
      <w:r w:rsidRPr="00A62EBD">
        <w:rPr>
          <w:i/>
        </w:rPr>
        <w:t>History</w:t>
      </w:r>
      <w:r w:rsidR="007B41D1" w:rsidRPr="00A62EBD">
        <w:rPr>
          <w:i/>
        </w:rPr>
        <w:t xml:space="preserve"> </w:t>
      </w:r>
      <w:r w:rsidR="007327D7" w:rsidRPr="00A62EBD">
        <w:rPr>
          <w:i/>
        </w:rPr>
        <w:t>and Examination</w:t>
      </w:r>
      <w:r>
        <w:t>: As per</w:t>
      </w:r>
      <w:r w:rsidR="00294040">
        <w:t xml:space="preserve"> </w:t>
      </w:r>
      <w:r w:rsidR="00D57481">
        <w:t>MS04</w:t>
      </w:r>
      <w:r w:rsidR="00A33104">
        <w:t xml:space="preserve"> Clinical</w:t>
      </w:r>
      <w:r w:rsidR="00C451E1">
        <w:t xml:space="preserve"> Evaluation of Possible PAD </w:t>
      </w:r>
      <w:r w:rsidR="003764C9">
        <w:t>AND</w:t>
      </w:r>
      <w:r w:rsidR="00ED6E45">
        <w:t xml:space="preserve"> </w:t>
      </w:r>
      <w:r w:rsidR="00B22E2C">
        <w:t>M</w:t>
      </w:r>
      <w:r w:rsidR="003764C9">
        <w:t>S</w:t>
      </w:r>
      <w:r w:rsidR="00B22E2C">
        <w:t xml:space="preserve">O1 Leg </w:t>
      </w:r>
      <w:r w:rsidR="00FD52DD">
        <w:t>U</w:t>
      </w:r>
      <w:r w:rsidR="00B22E2C">
        <w:t>lcer Basics</w:t>
      </w:r>
    </w:p>
    <w:p w14:paraId="502FBFCF" w14:textId="0DF5BDD7" w:rsidR="006C75AE" w:rsidRDefault="00D53908">
      <w:r>
        <w:t xml:space="preserve">For patients with </w:t>
      </w:r>
      <w:r w:rsidR="00D63212">
        <w:t>gangrene</w:t>
      </w:r>
      <w:r>
        <w:t>,</w:t>
      </w:r>
      <w:r w:rsidR="00D63212">
        <w:t xml:space="preserve"> </w:t>
      </w:r>
      <w:r w:rsidR="00F9488C">
        <w:t>approach history and examination as you would for a leg ulcer</w:t>
      </w:r>
    </w:p>
    <w:p w14:paraId="725A784C" w14:textId="688E381C" w:rsidR="00F9488C" w:rsidRDefault="00A62EBD">
      <w:r>
        <w:rPr>
          <w:noProof/>
          <w:lang w:eastAsia="en-IE"/>
        </w:rPr>
        <mc:AlternateContent>
          <mc:Choice Requires="wps">
            <w:drawing>
              <wp:anchor distT="45720" distB="45720" distL="114300" distR="114300" simplePos="0" relativeHeight="251658246" behindDoc="0" locked="0" layoutInCell="1" allowOverlap="1" wp14:anchorId="15AB36E4" wp14:editId="782AA118">
                <wp:simplePos x="0" y="0"/>
                <wp:positionH relativeFrom="margin">
                  <wp:align>center</wp:align>
                </wp:positionH>
                <wp:positionV relativeFrom="paragraph">
                  <wp:posOffset>229870</wp:posOffset>
                </wp:positionV>
                <wp:extent cx="6362700" cy="1404620"/>
                <wp:effectExtent l="0" t="0" r="19050"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9525">
                          <a:solidFill>
                            <a:srgbClr val="000000"/>
                          </a:solidFill>
                          <a:miter lim="800000"/>
                          <a:headEnd/>
                          <a:tailEnd/>
                        </a:ln>
                      </wps:spPr>
                      <wps:txbx>
                        <w:txbxContent>
                          <w:p w14:paraId="711B7C1B" w14:textId="77777777" w:rsidR="00BD47FF" w:rsidRDefault="00BD47FF" w:rsidP="00A62EBD">
                            <w:r>
                              <w:t xml:space="preserve">Practice Point: As students, we all like definite management pathways (If patient has Disease x, prescribe Management y). CLTI patients usually have multiple co- morbidities (COPD, advanced diabetes, haemodialysis dependency, strokes and ischaemic heart disease are common). Some will settle down without procedural heroics and 'downstage' from CLTI to asymptomatic PAD. There is NO 'one size fits all’ management plan.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AB36E4" id="_x0000_s1028" type="#_x0000_t202" style="position:absolute;margin-left:0;margin-top:18.1pt;width:501pt;height:110.6pt;z-index:25165824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">
                <v:textbox style="mso-fit-shape-to-text:t">
                  <w:txbxContent>
                    <w:p w14:paraId="711B7C1B" w14:textId="77777777" w:rsidR="00BD47FF" w:rsidRDefault="00BD47FF" w:rsidP="00A62EBD">
                      <w:r>
                        <w:t xml:space="preserve">Practice Point: As students, we all like definite management pathways (If patient has Disease x, prescribe Management y). CLTI patients usually have multiple co- morbidities (COPD, advanced diabetes, haemodialysis dependency, strokes and ischaemic heart disease are common). Some will settle down without procedural heroics and 'downstage' from CLTI to asymptomatic PAD. There is NO 'one size fits all’ management plan. </w:t>
                      </w:r>
                    </w:p>
                  </w:txbxContent>
                </v:textbox>
                <w10:wrap type="square" anchorx="margin"/>
              </v:shape>
            </w:pict>
          </mc:Fallback>
        </mc:AlternateContent>
      </w:r>
    </w:p>
    <w:p w14:paraId="6F2588ED" w14:textId="3CC8339E" w:rsidR="00B74236" w:rsidRDefault="00B74236"/>
    <w:p w14:paraId="1D11271C" w14:textId="59600D38" w:rsidR="00B74236" w:rsidRPr="00A62EBD" w:rsidRDefault="0054175C">
      <w:pPr>
        <w:rPr>
          <w:b/>
        </w:rPr>
      </w:pPr>
      <w:r w:rsidRPr="00A62EBD">
        <w:rPr>
          <w:b/>
        </w:rPr>
        <w:t>Investigations</w:t>
      </w:r>
    </w:p>
    <w:p w14:paraId="54E7F349" w14:textId="4B18A0B6" w:rsidR="0054175C" w:rsidRDefault="00DC0DCE">
      <w:r>
        <w:t xml:space="preserve">Full Blood </w:t>
      </w:r>
      <w:r w:rsidR="00A62EBD">
        <w:t>Count</w:t>
      </w:r>
      <w:r w:rsidR="00DB3186">
        <w:t>: exclude anaemia</w:t>
      </w:r>
    </w:p>
    <w:p w14:paraId="1B028FC8" w14:textId="7E925C7A" w:rsidR="00DB3186" w:rsidRDefault="004E3DB0">
      <w:r>
        <w:t xml:space="preserve">Urea and Electrolytes: </w:t>
      </w:r>
      <w:r w:rsidR="00667467">
        <w:t>check renal function as renal impairment may influence choice of arterial imaging (if any)</w:t>
      </w:r>
    </w:p>
    <w:p w14:paraId="78023556" w14:textId="48CFDED5" w:rsidR="00D03F48" w:rsidRDefault="00E0187D">
      <w:proofErr w:type="spellStart"/>
      <w:proofErr w:type="gramStart"/>
      <w:r>
        <w:t>proBNP</w:t>
      </w:r>
      <w:proofErr w:type="spellEnd"/>
      <w:proofErr w:type="gramEnd"/>
      <w:r w:rsidR="003D7ECF">
        <w:t xml:space="preserve">: cardiac dysfunction may influence decisions regarding </w:t>
      </w:r>
      <w:r w:rsidR="00D03F48">
        <w:t xml:space="preserve">fitness </w:t>
      </w:r>
      <w:r w:rsidR="003D7ECF">
        <w:t>for</w:t>
      </w:r>
      <w:r w:rsidR="00D03F48">
        <w:t xml:space="preserve"> interventional procedures</w:t>
      </w:r>
    </w:p>
    <w:p w14:paraId="3842BF49" w14:textId="709FE921" w:rsidR="00234C71" w:rsidRDefault="00134CBC">
      <w:r>
        <w:t xml:space="preserve">CXR: </w:t>
      </w:r>
      <w:r w:rsidR="00C67BC3">
        <w:t xml:space="preserve">cardiomegaly? Pulmonary oedema? </w:t>
      </w:r>
      <w:r w:rsidR="005146EA">
        <w:t>Undiagnosed lung neoplasm?</w:t>
      </w:r>
    </w:p>
    <w:p w14:paraId="41BF82E3" w14:textId="5EC74EA8" w:rsidR="00C25B51" w:rsidRDefault="00C25B51">
      <w:r>
        <w:t>ABI or TBI</w:t>
      </w:r>
      <w:r w:rsidR="00B469DA">
        <w:t xml:space="preserve">: </w:t>
      </w:r>
      <w:r w:rsidR="00AC69CD">
        <w:t xml:space="preserve">provides some idea of foot / leg </w:t>
      </w:r>
      <w:r w:rsidR="00DD6763">
        <w:t xml:space="preserve">perfusion which may help weigh up the chances of the patient settling with conservative </w:t>
      </w:r>
      <w:r w:rsidR="00D36FCA">
        <w:t>treatment</w:t>
      </w:r>
    </w:p>
    <w:p w14:paraId="728EA44A" w14:textId="1FB28654" w:rsidR="001613F8" w:rsidRPr="00A62EBD" w:rsidRDefault="00A62EBD">
      <w:pPr>
        <w:rPr>
          <w:i/>
        </w:rPr>
      </w:pPr>
      <w:r>
        <w:rPr>
          <w:noProof/>
          <w:lang w:eastAsia="en-IE"/>
        </w:rPr>
        <mc:AlternateContent>
          <mc:Choice Requires="wps">
            <w:drawing>
              <wp:anchor distT="45720" distB="45720" distL="114300" distR="114300" simplePos="0" relativeHeight="251658247" behindDoc="0" locked="0" layoutInCell="1" allowOverlap="1" wp14:anchorId="3DFD2D24" wp14:editId="15CDF1C6">
                <wp:simplePos x="0" y="0"/>
                <wp:positionH relativeFrom="margin">
                  <wp:align>left</wp:align>
                </wp:positionH>
                <wp:positionV relativeFrom="paragraph">
                  <wp:posOffset>251460</wp:posOffset>
                </wp:positionV>
                <wp:extent cx="6057900" cy="1404620"/>
                <wp:effectExtent l="0" t="0" r="1905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38CACA44" w14:textId="7F29A487" w:rsidR="00BD47FF" w:rsidRDefault="00BD47FF">
                            <w:r>
                              <w:t>Practice Point: Arterial tree imaging may not always be needed. Some patients may be neither suitable (e.g. very advanced gangrene) nor fit (e.g. wheelchair bound, advanced heart failure) for arterial intervention. In these patients, the only question is whether they are fit for an amputation. Arterial tree imaging will not alter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D2D24" id="_x0000_s1029" type="#_x0000_t202" style="position:absolute;margin-left:0;margin-top:19.8pt;width:477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">
                <v:textbox style="mso-fit-shape-to-text:t">
                  <w:txbxContent>
                    <w:p w14:paraId="38CACA44" w14:textId="7F29A487" w:rsidR="00BD47FF" w:rsidRDefault="00BD47FF">
                      <w:r>
                        <w:t>Practice Point: Arterial tree imaging may not always be needed. Some patients may be neither suitable (e.g. very advanced gangrene) nor fit (e.g. wheelchair bound, advanced heart failure) for arterial intervention. In these patients, the only question is whether they are fit for an amputation. Arterial tree imaging will not alter management.</w:t>
                      </w:r>
                    </w:p>
                  </w:txbxContent>
                </v:textbox>
                <w10:wrap type="square" anchorx="margin"/>
              </v:shape>
            </w:pict>
          </mc:Fallback>
        </mc:AlternateContent>
      </w:r>
      <w:r w:rsidR="001613F8" w:rsidRPr="00A62EBD">
        <w:rPr>
          <w:i/>
        </w:rPr>
        <w:t>Imaging</w:t>
      </w:r>
    </w:p>
    <w:p w14:paraId="65DF456F" w14:textId="3FC3BA80" w:rsidR="007042C7" w:rsidRDefault="006A62EF">
      <w:r>
        <w:t>Practice varies from</w:t>
      </w:r>
      <w:r w:rsidR="00750939">
        <w:t xml:space="preserve"> unit to unit but generally one of:</w:t>
      </w:r>
    </w:p>
    <w:p w14:paraId="0ED1B4F8" w14:textId="17838B1F" w:rsidR="00750939" w:rsidRDefault="004C1CD1">
      <w:r>
        <w:t>CT or MR Angiogram</w:t>
      </w:r>
    </w:p>
    <w:p w14:paraId="2C7CD1D2" w14:textId="21A942B4" w:rsidR="004C1CD1" w:rsidRDefault="004C1CD1">
      <w:r>
        <w:t xml:space="preserve">Duplex </w:t>
      </w:r>
      <w:r w:rsidR="0017006A">
        <w:t>ultrasound</w:t>
      </w:r>
    </w:p>
    <w:p w14:paraId="7570BECE" w14:textId="03B0BF0F" w:rsidR="0017006A" w:rsidRDefault="0017006A">
      <w:r>
        <w:t>Digital Subtraction Angiogram</w:t>
      </w:r>
    </w:p>
    <w:p w14:paraId="2E9E67D6" w14:textId="47A0210C" w:rsidR="0017006A" w:rsidRDefault="0017006A"/>
    <w:p w14:paraId="6520ACCA" w14:textId="46E4248A" w:rsidR="00737899" w:rsidRPr="00A62EBD" w:rsidRDefault="00737899">
      <w:pPr>
        <w:rPr>
          <w:b/>
        </w:rPr>
      </w:pPr>
      <w:r w:rsidRPr="00A62EBD">
        <w:rPr>
          <w:b/>
        </w:rPr>
        <w:t xml:space="preserve">Management </w:t>
      </w:r>
    </w:p>
    <w:p w14:paraId="395AAB55" w14:textId="02C1B096" w:rsidR="00737899" w:rsidRDefault="007B36EA">
      <w:r>
        <w:t>S</w:t>
      </w:r>
      <w:r w:rsidR="00C23E29">
        <w:t xml:space="preserve">TOP </w:t>
      </w:r>
      <w:r>
        <w:t>SMOKING</w:t>
      </w:r>
    </w:p>
    <w:p w14:paraId="16E3C9D8" w14:textId="77777777" w:rsidR="00A45629" w:rsidRDefault="00055102">
      <w:r>
        <w:t>Ensure ulcers are offloaded</w:t>
      </w:r>
    </w:p>
    <w:p w14:paraId="44C10D37" w14:textId="0FA06232" w:rsidR="0051058B" w:rsidRDefault="001D7F69">
      <w:r>
        <w:t xml:space="preserve">Optimise diabetic and </w:t>
      </w:r>
      <w:r w:rsidR="00800C37">
        <w:t>blood pressure control</w:t>
      </w:r>
    </w:p>
    <w:p w14:paraId="0A54DE69" w14:textId="76FD6100" w:rsidR="009B2F74" w:rsidRDefault="00383D37">
      <w:r>
        <w:t>Foot care advice (</w:t>
      </w:r>
      <w:bookmarkStart w:id="0" w:name="_GoBack"/>
      <w:bookmarkEnd w:id="0"/>
      <w:r w:rsidR="00381162">
        <w:t>try to avoid the other foo</w:t>
      </w:r>
      <w:r w:rsidR="00AD7357">
        <w:t>t deteriorating)</w:t>
      </w:r>
    </w:p>
    <w:p w14:paraId="46AB6E23" w14:textId="22A61EAC" w:rsidR="0051058B" w:rsidRDefault="0051058B"/>
    <w:p w14:paraId="4B39DA29" w14:textId="77777777" w:rsidR="0036628A" w:rsidRDefault="0036628A"/>
    <w:p w14:paraId="2446C0B9" w14:textId="1B7CEA20" w:rsidR="007042C7" w:rsidRDefault="00A62EBD">
      <w:pPr>
        <w:rPr>
          <w:noProof/>
          <w:lang w:eastAsia="en-IE"/>
        </w:rPr>
      </w:pPr>
      <w:r>
        <w:rPr>
          <w:noProof/>
          <w:lang w:eastAsia="en-IE"/>
        </w:rPr>
        <w:lastRenderedPageBreak/>
        <mc:AlternateContent>
          <mc:Choice Requires="wps">
            <w:drawing>
              <wp:anchor distT="45720" distB="45720" distL="114300" distR="114300" simplePos="0" relativeHeight="251658248" behindDoc="0" locked="0" layoutInCell="1" allowOverlap="1" wp14:anchorId="0FA54786" wp14:editId="0494D7A3">
                <wp:simplePos x="0" y="0"/>
                <wp:positionH relativeFrom="margin">
                  <wp:align>right</wp:align>
                </wp:positionH>
                <wp:positionV relativeFrom="paragraph">
                  <wp:posOffset>469900</wp:posOffset>
                </wp:positionV>
                <wp:extent cx="5924550" cy="1404620"/>
                <wp:effectExtent l="0" t="0" r="1905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33DD889E" w14:textId="32D214B4" w:rsidR="00BD47FF" w:rsidRDefault="00BD47FF">
                            <w:r>
                              <w:t xml:space="preserve">Practice Point: Offloading means 'foot floating free in the air’. NEVER tell CLTI patients to put their foot on a foot stool. Pressure on the poorly perfused </w:t>
                            </w:r>
                            <w:proofErr w:type="spellStart"/>
                            <w:r>
                              <w:t>calcaneum</w:t>
                            </w:r>
                            <w:proofErr w:type="spellEnd"/>
                            <w:r>
                              <w:t xml:space="preserve"> will rapidly add a heel ulcer to your patient's woes!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54786" id="_x0000_s1030" type="#_x0000_t202" style="position:absolute;margin-left:415.3pt;margin-top:37pt;width:466.5pt;height:110.6pt;z-index:251658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">
                <v:textbox style="mso-fit-shape-to-text:t">
                  <w:txbxContent>
                    <w:p w14:paraId="33DD889E" w14:textId="32D214B4" w:rsidR="00BD47FF" w:rsidRDefault="00BD47FF">
                      <w:r>
                        <w:t>Practice Point: Offloading means 'foot floating free in the air’. NEVER tell CLTI patients to put their foot on a foot stool. Pressure on the poorly perfused calcaneum will rapidly add a heel ulcer to your patient's woes!</w:t>
                      </w:r>
                    </w:p>
                  </w:txbxContent>
                </v:textbox>
                <w10:wrap type="square" anchorx="margin"/>
              </v:shape>
            </w:pict>
          </mc:Fallback>
        </mc:AlternateContent>
      </w:r>
      <w:r w:rsidR="00055102">
        <w:rPr>
          <w:noProof/>
          <w:lang w:eastAsia="en-IE"/>
        </w:rPr>
        <w:t xml:space="preserve"> </w:t>
      </w:r>
      <w:r w:rsidR="00055102">
        <w:rPr>
          <w:noProof/>
          <w:lang w:eastAsia="en-IE"/>
        </w:rPr>
        <w:drawing>
          <wp:inline distT="0" distB="0" distL="0" distR="0" wp14:anchorId="6184517E" wp14:editId="5B4EBE82">
            <wp:extent cx="1242695" cy="154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_1023393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2695" cy="1543050"/>
                    </a:xfrm>
                    <a:prstGeom prst="rect">
                      <a:avLst/>
                    </a:prstGeom>
                  </pic:spPr>
                </pic:pic>
              </a:graphicData>
            </a:graphic>
          </wp:inline>
        </w:drawing>
      </w:r>
      <w:r w:rsidR="00055102">
        <w:rPr>
          <w:noProof/>
          <w:lang w:eastAsia="en-IE"/>
        </w:rPr>
        <w:drawing>
          <wp:inline distT="0" distB="0" distL="0" distR="0" wp14:anchorId="1DFBEEAD" wp14:editId="42827628">
            <wp:extent cx="1227600" cy="152280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_102819647.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27600" cy="1522800"/>
                    </a:xfrm>
                    <a:prstGeom prst="rect">
                      <a:avLst/>
                    </a:prstGeom>
                  </pic:spPr>
                </pic:pic>
              </a:graphicData>
            </a:graphic>
          </wp:inline>
        </w:drawing>
      </w:r>
    </w:p>
    <w:p w14:paraId="5874021D" w14:textId="7EB0DA0C" w:rsidR="003F12B3" w:rsidRDefault="003F12B3">
      <w:pPr>
        <w:rPr>
          <w:noProof/>
          <w:lang w:eastAsia="en-IE"/>
        </w:rPr>
      </w:pPr>
      <w:r>
        <w:rPr>
          <w:noProof/>
          <w:lang w:eastAsia="en-IE"/>
        </w:rPr>
        <w:t>Make sure anti-platelet and statin are prescribed</w:t>
      </w:r>
    </w:p>
    <w:p w14:paraId="61F82F1A" w14:textId="78FAA871" w:rsidR="003F12B3" w:rsidRDefault="003F12B3">
      <w:r>
        <w:t>Analgesia</w:t>
      </w:r>
    </w:p>
    <w:p w14:paraId="431CFD77" w14:textId="2184CC62" w:rsidR="003F12B3" w:rsidRDefault="007B6519">
      <w:r>
        <w:t>If fit for a procedure, consider endovascular or open revascularisation</w:t>
      </w:r>
    </w:p>
    <w:p w14:paraId="41D03C3C" w14:textId="59F36CD9" w:rsidR="00B74236" w:rsidRDefault="00B74236"/>
    <w:p w14:paraId="6AA39BCB" w14:textId="3A8EE725" w:rsidR="00AD7357" w:rsidRDefault="000D474D">
      <w:r>
        <w:t>Prognosis</w:t>
      </w:r>
    </w:p>
    <w:p w14:paraId="174641F9" w14:textId="7FD35311" w:rsidR="000D474D" w:rsidRDefault="00D7793B">
      <w:r>
        <w:t>Untreated, 20</w:t>
      </w:r>
      <w:r w:rsidR="00E115B6">
        <w:t>%</w:t>
      </w:r>
      <w:r>
        <w:t xml:space="preserve"> die and 20% lose their leg by 12 months </w:t>
      </w:r>
    </w:p>
    <w:p w14:paraId="3506EF84" w14:textId="77777777" w:rsidR="00857F59" w:rsidRDefault="00857F59"/>
    <w:p w14:paraId="7D0EFB70" w14:textId="68C6531B" w:rsidR="00CB42E3" w:rsidRDefault="00BD47FF">
      <w:pPr>
        <w:rPr>
          <w:b/>
        </w:rPr>
      </w:pPr>
      <w:r>
        <w:rPr>
          <w:b/>
        </w:rPr>
        <w:t>Prognosis</w:t>
      </w:r>
    </w:p>
    <w:p w14:paraId="1B6F2E4B" w14:textId="41AD0FCD" w:rsidR="00BD47FF" w:rsidRPr="00BD47FF" w:rsidRDefault="00BD47FF">
      <w:r w:rsidRPr="00BD47FF">
        <w:t>Depends on severity</w:t>
      </w:r>
    </w:p>
    <w:p w14:paraId="2743F760" w14:textId="269DA116" w:rsidR="00BD47FF" w:rsidRDefault="00BD47FF">
      <w:r w:rsidRPr="00BD47FF">
        <w:t>Up to 40% one year limb loss in severe CLTI</w:t>
      </w:r>
    </w:p>
    <w:p w14:paraId="083996FF" w14:textId="46449D5D" w:rsidR="00BD47FF" w:rsidRDefault="00BD47FF">
      <w:r>
        <w:t>Of those undergoing revascularisation, up to 50% lose their limb or die within 5 years</w:t>
      </w:r>
    </w:p>
    <w:p w14:paraId="5155D505" w14:textId="28117EB0" w:rsidR="00BD47FF" w:rsidRDefault="00BD47FF"/>
    <w:p w14:paraId="4235DBF6" w14:textId="77777777" w:rsidR="00BD47FF" w:rsidRPr="00BD47FF" w:rsidRDefault="00BD47FF"/>
    <w:p w14:paraId="2E4F11D4" w14:textId="77777777" w:rsidR="00414F7F" w:rsidRDefault="00414F7F"/>
    <w:p w14:paraId="1C02D4F0" w14:textId="77777777" w:rsidR="00B56527" w:rsidRDefault="00B56527"/>
    <w:p w14:paraId="76F4941B" w14:textId="77777777" w:rsidR="00B56527" w:rsidRDefault="00B56527"/>
    <w:sectPr w:rsidR="00B56527">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863CA" w14:textId="77777777" w:rsidR="00383D37" w:rsidRDefault="00383D37" w:rsidP="00383D37">
      <w:pPr>
        <w:spacing w:after="0" w:line="240" w:lineRule="auto"/>
      </w:pPr>
      <w:r>
        <w:separator/>
      </w:r>
    </w:p>
  </w:endnote>
  <w:endnote w:type="continuationSeparator" w:id="0">
    <w:p w14:paraId="77F7D6CE" w14:textId="77777777" w:rsidR="00383D37" w:rsidRDefault="00383D37" w:rsidP="0038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37808" w14:textId="52C26A44" w:rsidR="00383D37" w:rsidRDefault="00383D37">
    <w:pPr>
      <w:pStyle w:val="Footer"/>
    </w:pPr>
    <w:r>
      <w:t>Last revised 10</w:t>
    </w:r>
    <w:r w:rsidRPr="00383D37">
      <w:rPr>
        <w:vertAlign w:val="superscript"/>
      </w:rPr>
      <w:t>th</w:t>
    </w:r>
    <w: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CECC2" w14:textId="77777777" w:rsidR="00383D37" w:rsidRDefault="00383D37" w:rsidP="00383D37">
      <w:pPr>
        <w:spacing w:after="0" w:line="240" w:lineRule="auto"/>
      </w:pPr>
      <w:r>
        <w:separator/>
      </w:r>
    </w:p>
  </w:footnote>
  <w:footnote w:type="continuationSeparator" w:id="0">
    <w:p w14:paraId="499B554B" w14:textId="77777777" w:rsidR="00383D37" w:rsidRDefault="00383D37" w:rsidP="00383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BAD6" w14:textId="77777777" w:rsidR="00383D37" w:rsidRDefault="00383D37" w:rsidP="00383D37">
    <w:pPr>
      <w:rPr>
        <w:b/>
        <w:bCs/>
        <w:lang w:val="en-GB"/>
      </w:rPr>
    </w:pPr>
    <w:r>
      <w:rPr>
        <w:noProof/>
        <w:lang w:eastAsia="en-IE"/>
      </w:rPr>
      <w:drawing>
        <wp:anchor distT="0" distB="0" distL="114300" distR="114300" simplePos="0" relativeHeight="251659264" behindDoc="1" locked="0" layoutInCell="1" allowOverlap="1" wp14:anchorId="00742309" wp14:editId="0270CBEB">
          <wp:simplePos x="0" y="0"/>
          <wp:positionH relativeFrom="column">
            <wp:posOffset>-638175</wp:posOffset>
          </wp:positionH>
          <wp:positionV relativeFrom="paragraph">
            <wp:posOffset>7620</wp:posOffset>
          </wp:positionV>
          <wp:extent cx="342900" cy="547730"/>
          <wp:effectExtent l="0" t="0" r="0" b="5080"/>
          <wp:wrapTight wrapText="bothSides">
            <wp:wrapPolygon edited="0">
              <wp:start x="0" y="0"/>
              <wp:lineTo x="0" y="21049"/>
              <wp:lineTo x="20400" y="21049"/>
              <wp:lineTo x="204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937313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547730"/>
                  </a:xfrm>
                  <a:prstGeom prst="rect">
                    <a:avLst/>
                  </a:prstGeom>
                </pic:spPr>
              </pic:pic>
            </a:graphicData>
          </a:graphic>
        </wp:anchor>
      </w:drawing>
    </w:r>
    <w:r>
      <w:rPr>
        <w:b/>
        <w:bCs/>
        <w:lang w:val="en-GB"/>
      </w:rPr>
      <w:t xml:space="preserve">PROF WALSH’S VASCULAR SURVIVAL GUIDE </w:t>
    </w:r>
  </w:p>
  <w:p w14:paraId="5ED08466" w14:textId="77777777" w:rsidR="00383D37" w:rsidRDefault="00383D37" w:rsidP="00383D37">
    <w:pPr>
      <w:rPr>
        <w:rStyle w:val="normaltextrun"/>
        <w:rFonts w:ascii="Calibri" w:hAnsi="Calibri" w:cs="Calibri"/>
        <w:b/>
        <w:bCs/>
        <w:color w:val="000000"/>
        <w:bdr w:val="none" w:sz="0" w:space="0" w:color="auto" w:frame="1"/>
      </w:rPr>
    </w:pPr>
    <w:hyperlink r:id="rId2" w:history="1">
      <w:r w:rsidRPr="00865911">
        <w:rPr>
          <w:rStyle w:val="Hyperlink"/>
          <w:rFonts w:ascii="Calibri" w:hAnsi="Calibri" w:cs="Calibri"/>
          <w:b/>
          <w:bCs/>
          <w:bdr w:val="none" w:sz="0" w:space="0" w:color="auto" w:frame="1"/>
        </w:rPr>
        <w:t>https://www.youtube.com/channel/UCLK2lieMh3x1oiZsBBZawzg</w:t>
      </w:r>
    </w:hyperlink>
  </w:p>
  <w:p w14:paraId="1DFF8BD5" w14:textId="77777777" w:rsidR="00383D37" w:rsidRDefault="00383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CC4302-1403-4AF8-A79B-9353FCD9479E}"/>
    <w:docVar w:name="dgnword-eventsink" w:val="667345952"/>
  </w:docVars>
  <w:rsids>
    <w:rsidRoot w:val="002977F7"/>
    <w:rsid w:val="00055102"/>
    <w:rsid w:val="000617ED"/>
    <w:rsid w:val="00065591"/>
    <w:rsid w:val="000B279C"/>
    <w:rsid w:val="000D3D99"/>
    <w:rsid w:val="000D474D"/>
    <w:rsid w:val="000F0856"/>
    <w:rsid w:val="001211AE"/>
    <w:rsid w:val="001250C8"/>
    <w:rsid w:val="00127FEC"/>
    <w:rsid w:val="00134CBC"/>
    <w:rsid w:val="001613F8"/>
    <w:rsid w:val="0017006A"/>
    <w:rsid w:val="001B35A0"/>
    <w:rsid w:val="001B4FF7"/>
    <w:rsid w:val="001D7F69"/>
    <w:rsid w:val="001F736C"/>
    <w:rsid w:val="00221505"/>
    <w:rsid w:val="00226E3C"/>
    <w:rsid w:val="002272FF"/>
    <w:rsid w:val="00234C71"/>
    <w:rsid w:val="00250CC4"/>
    <w:rsid w:val="00294040"/>
    <w:rsid w:val="002977F7"/>
    <w:rsid w:val="00297A7C"/>
    <w:rsid w:val="002A6ED1"/>
    <w:rsid w:val="002E6E93"/>
    <w:rsid w:val="0031125B"/>
    <w:rsid w:val="00345622"/>
    <w:rsid w:val="003545EE"/>
    <w:rsid w:val="0036628A"/>
    <w:rsid w:val="003764C9"/>
    <w:rsid w:val="00381162"/>
    <w:rsid w:val="00383D37"/>
    <w:rsid w:val="003B55D2"/>
    <w:rsid w:val="003D56D8"/>
    <w:rsid w:val="003D7ECF"/>
    <w:rsid w:val="003E6026"/>
    <w:rsid w:val="003F12B3"/>
    <w:rsid w:val="003F7223"/>
    <w:rsid w:val="00400177"/>
    <w:rsid w:val="00405CB0"/>
    <w:rsid w:val="00414F7F"/>
    <w:rsid w:val="0041711B"/>
    <w:rsid w:val="0042648B"/>
    <w:rsid w:val="00437D8C"/>
    <w:rsid w:val="004672C7"/>
    <w:rsid w:val="004C1CD1"/>
    <w:rsid w:val="004C4FDC"/>
    <w:rsid w:val="004E3DB0"/>
    <w:rsid w:val="0050475F"/>
    <w:rsid w:val="0051058B"/>
    <w:rsid w:val="005146EA"/>
    <w:rsid w:val="005203D9"/>
    <w:rsid w:val="00530D4A"/>
    <w:rsid w:val="0054175C"/>
    <w:rsid w:val="00561A4A"/>
    <w:rsid w:val="00567ED0"/>
    <w:rsid w:val="00586BBB"/>
    <w:rsid w:val="005917C7"/>
    <w:rsid w:val="005C04C9"/>
    <w:rsid w:val="006138F5"/>
    <w:rsid w:val="00643E6B"/>
    <w:rsid w:val="00667467"/>
    <w:rsid w:val="006700B3"/>
    <w:rsid w:val="00697B14"/>
    <w:rsid w:val="006A62EF"/>
    <w:rsid w:val="006C75AE"/>
    <w:rsid w:val="006D15C4"/>
    <w:rsid w:val="006E17F9"/>
    <w:rsid w:val="00703570"/>
    <w:rsid w:val="007042C7"/>
    <w:rsid w:val="00716850"/>
    <w:rsid w:val="007244F6"/>
    <w:rsid w:val="007327D7"/>
    <w:rsid w:val="00732F1A"/>
    <w:rsid w:val="00737899"/>
    <w:rsid w:val="007454A2"/>
    <w:rsid w:val="00747D0C"/>
    <w:rsid w:val="00750939"/>
    <w:rsid w:val="0076234C"/>
    <w:rsid w:val="00792AA5"/>
    <w:rsid w:val="007962F2"/>
    <w:rsid w:val="007B36EA"/>
    <w:rsid w:val="007B41D1"/>
    <w:rsid w:val="007B6519"/>
    <w:rsid w:val="007C27CE"/>
    <w:rsid w:val="007D7019"/>
    <w:rsid w:val="00800C37"/>
    <w:rsid w:val="00857F59"/>
    <w:rsid w:val="008778E2"/>
    <w:rsid w:val="008A5E50"/>
    <w:rsid w:val="008A7569"/>
    <w:rsid w:val="008C2E7C"/>
    <w:rsid w:val="00907E4B"/>
    <w:rsid w:val="00911780"/>
    <w:rsid w:val="00931AB7"/>
    <w:rsid w:val="009922BD"/>
    <w:rsid w:val="009A2DAB"/>
    <w:rsid w:val="009B2F74"/>
    <w:rsid w:val="009E3A37"/>
    <w:rsid w:val="009F7881"/>
    <w:rsid w:val="00A02D38"/>
    <w:rsid w:val="00A030B0"/>
    <w:rsid w:val="00A324FD"/>
    <w:rsid w:val="00A33104"/>
    <w:rsid w:val="00A44F2C"/>
    <w:rsid w:val="00A45629"/>
    <w:rsid w:val="00A62EBD"/>
    <w:rsid w:val="00A71BAD"/>
    <w:rsid w:val="00A90708"/>
    <w:rsid w:val="00AB354A"/>
    <w:rsid w:val="00AC50A1"/>
    <w:rsid w:val="00AC69CD"/>
    <w:rsid w:val="00AD7357"/>
    <w:rsid w:val="00B02634"/>
    <w:rsid w:val="00B22E2C"/>
    <w:rsid w:val="00B30BF8"/>
    <w:rsid w:val="00B469DA"/>
    <w:rsid w:val="00B56527"/>
    <w:rsid w:val="00B65FA5"/>
    <w:rsid w:val="00B74236"/>
    <w:rsid w:val="00BB46E1"/>
    <w:rsid w:val="00BD47FF"/>
    <w:rsid w:val="00BE48AC"/>
    <w:rsid w:val="00C0537D"/>
    <w:rsid w:val="00C07234"/>
    <w:rsid w:val="00C12061"/>
    <w:rsid w:val="00C1679F"/>
    <w:rsid w:val="00C23E29"/>
    <w:rsid w:val="00C25B51"/>
    <w:rsid w:val="00C4130F"/>
    <w:rsid w:val="00C451E1"/>
    <w:rsid w:val="00C67BC3"/>
    <w:rsid w:val="00CB42E3"/>
    <w:rsid w:val="00CD0186"/>
    <w:rsid w:val="00CE79CE"/>
    <w:rsid w:val="00CE7E92"/>
    <w:rsid w:val="00D03F48"/>
    <w:rsid w:val="00D17C06"/>
    <w:rsid w:val="00D20545"/>
    <w:rsid w:val="00D35D4F"/>
    <w:rsid w:val="00D36FCA"/>
    <w:rsid w:val="00D50355"/>
    <w:rsid w:val="00D53908"/>
    <w:rsid w:val="00D57481"/>
    <w:rsid w:val="00D63212"/>
    <w:rsid w:val="00D7793B"/>
    <w:rsid w:val="00D96B72"/>
    <w:rsid w:val="00DB3186"/>
    <w:rsid w:val="00DC0DCE"/>
    <w:rsid w:val="00DD6763"/>
    <w:rsid w:val="00E0187D"/>
    <w:rsid w:val="00E115B6"/>
    <w:rsid w:val="00E4068C"/>
    <w:rsid w:val="00EB174B"/>
    <w:rsid w:val="00ED6E45"/>
    <w:rsid w:val="00F30465"/>
    <w:rsid w:val="00F56097"/>
    <w:rsid w:val="00F6029F"/>
    <w:rsid w:val="00F84FB9"/>
    <w:rsid w:val="00F91433"/>
    <w:rsid w:val="00F9488C"/>
    <w:rsid w:val="00FD52DD"/>
    <w:rsid w:val="00FE3DF5"/>
    <w:rsid w:val="00FF5F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32AF"/>
  <w15:chartTrackingRefBased/>
  <w15:docId w15:val="{01EC46E4-88B7-7240-B754-E3AF1A49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D38"/>
    <w:rPr>
      <w:color w:val="0000FF"/>
      <w:u w:val="single"/>
    </w:rPr>
  </w:style>
  <w:style w:type="character" w:customStyle="1" w:styleId="normaltextrun">
    <w:name w:val="normaltextrun"/>
    <w:basedOn w:val="DefaultParagraphFont"/>
    <w:rsid w:val="00A02D38"/>
  </w:style>
  <w:style w:type="paragraph" w:styleId="Header">
    <w:name w:val="header"/>
    <w:basedOn w:val="Normal"/>
    <w:link w:val="HeaderChar"/>
    <w:uiPriority w:val="99"/>
    <w:unhideWhenUsed/>
    <w:rsid w:val="00383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D37"/>
  </w:style>
  <w:style w:type="paragraph" w:styleId="Footer">
    <w:name w:val="footer"/>
    <w:basedOn w:val="Normal"/>
    <w:link w:val="FooterChar"/>
    <w:uiPriority w:val="99"/>
    <w:unhideWhenUsed/>
    <w:rsid w:val="00383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channel/UCLK2lieMh3x1oiZsBBZawzg" TargetMode="External"/><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4286</TotalTime>
  <Pages>4</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Walsh</dc:creator>
  <cp:keywords/>
  <dc:description/>
  <cp:lastModifiedBy>Walsh, Stewart Redmond</cp:lastModifiedBy>
  <cp:revision>145</cp:revision>
  <dcterms:created xsi:type="dcterms:W3CDTF">2021-08-22T12:36:00Z</dcterms:created>
  <dcterms:modified xsi:type="dcterms:W3CDTF">2021-09-20T17:25:00Z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